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510" w:rsidRPr="00474510" w:rsidRDefault="00474510" w:rsidP="0047451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74510">
        <w:rPr>
          <w:rFonts w:ascii="Times New Roman" w:eastAsia="Times New Roman" w:hAnsi="Times New Roman" w:cs="Times New Roman"/>
          <w:b/>
          <w:bCs/>
          <w:sz w:val="36"/>
          <w:szCs w:val="36"/>
          <w:lang w:eastAsia="fr-FR"/>
        </w:rPr>
        <w:t>Questions ouvertes</w:t>
      </w:r>
    </w:p>
    <w:p w:rsidR="00474510" w:rsidRPr="00474510" w:rsidRDefault="00474510" w:rsidP="00474510">
      <w:pPr>
        <w:numPr>
          <w:ilvl w:val="0"/>
          <w:numId w:val="46"/>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t>Pourquoi l’accueil bienveillant et sans jugement est-il crucial pour l’accompagnement des patients diabétiques à l’officine ?</w:t>
      </w:r>
    </w:p>
    <w:p w:rsidR="00474510" w:rsidRPr="00474510" w:rsidRDefault="00474510" w:rsidP="00474510">
      <w:pPr>
        <w:numPr>
          <w:ilvl w:val="0"/>
          <w:numId w:val="46"/>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t>Quels signaux au comptoir peuvent indiquer des difficultés dans la prise en charge du diabète ou un risque de complications ?</w:t>
      </w:r>
    </w:p>
    <w:p w:rsidR="00474510" w:rsidRPr="00474510" w:rsidRDefault="00474510" w:rsidP="00474510">
      <w:pPr>
        <w:numPr>
          <w:ilvl w:val="0"/>
          <w:numId w:val="46"/>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t>Quelles actions l’équipe officinale peut-elle mettre en place pour renforcer l’observance et le suivi thérapeutique du patient ?</w:t>
      </w:r>
    </w:p>
    <w:p w:rsidR="00474510" w:rsidRPr="00474510" w:rsidRDefault="00474510" w:rsidP="00474510">
      <w:pPr>
        <w:spacing w:after="0"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pict>
          <v:rect id="_x0000_i1139" style="width:0;height:1.5pt" o:hralign="center" o:hrstd="t" o:hr="t" fillcolor="#a0a0a0" stroked="f"/>
        </w:pict>
      </w:r>
    </w:p>
    <w:p w:rsidR="00474510" w:rsidRPr="00474510" w:rsidRDefault="00474510" w:rsidP="0047451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74510">
        <w:rPr>
          <w:rFonts w:ascii="Times New Roman" w:eastAsia="Times New Roman" w:hAnsi="Times New Roman" w:cs="Times New Roman"/>
          <w:b/>
          <w:bCs/>
          <w:sz w:val="36"/>
          <w:szCs w:val="36"/>
          <w:lang w:eastAsia="fr-FR"/>
        </w:rPr>
        <w:t>Quiz (QCM)</w:t>
      </w:r>
    </w:p>
    <w:p w:rsidR="00474510" w:rsidRPr="00474510" w:rsidRDefault="00474510" w:rsidP="00474510">
      <w:p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b/>
          <w:bCs/>
          <w:sz w:val="24"/>
          <w:szCs w:val="24"/>
          <w:lang w:eastAsia="fr-FR"/>
        </w:rPr>
        <w:t>QCM 1 : Accueil et communication</w:t>
      </w:r>
      <w:r w:rsidRPr="00474510">
        <w:rPr>
          <w:rFonts w:ascii="Times New Roman" w:eastAsia="Times New Roman" w:hAnsi="Times New Roman" w:cs="Times New Roman"/>
          <w:sz w:val="24"/>
          <w:szCs w:val="24"/>
          <w:lang w:eastAsia="fr-FR"/>
        </w:rPr>
        <w:br/>
        <w:t>Quel comportement reflète un accueil bienveillant pour un patient diabétique ?</w:t>
      </w:r>
      <w:r w:rsidRPr="00474510">
        <w:rPr>
          <w:rFonts w:ascii="Times New Roman" w:eastAsia="Times New Roman" w:hAnsi="Times New Roman" w:cs="Times New Roman"/>
          <w:sz w:val="24"/>
          <w:szCs w:val="24"/>
          <w:lang w:eastAsia="fr-FR"/>
        </w:rPr>
        <w:br/>
        <w:t>A. Interroger directement sur les erreurs du patient : “Vous avez oublié votre traitement ?”</w:t>
      </w:r>
      <w:r w:rsidRPr="00474510">
        <w:rPr>
          <w:rFonts w:ascii="Times New Roman" w:eastAsia="Times New Roman" w:hAnsi="Times New Roman" w:cs="Times New Roman"/>
          <w:sz w:val="24"/>
          <w:szCs w:val="24"/>
          <w:lang w:eastAsia="fr-FR"/>
        </w:rPr>
        <w:br/>
        <w:t>B. Poser une question ouverte et valoriser les efforts : “Comment se passe votre suivi au quotidien ? Voyons ensemble comment l’optimiser.”</w:t>
      </w:r>
      <w:r w:rsidRPr="00474510">
        <w:rPr>
          <w:rFonts w:ascii="Times New Roman" w:eastAsia="Times New Roman" w:hAnsi="Times New Roman" w:cs="Times New Roman"/>
          <w:sz w:val="24"/>
          <w:szCs w:val="24"/>
          <w:lang w:eastAsia="fr-FR"/>
        </w:rPr>
        <w:br/>
        <w:t>C. Ignorer les difficultés du patient et se concentrer sur la délivrance du médicament</w:t>
      </w:r>
      <w:r w:rsidRPr="00474510">
        <w:rPr>
          <w:rFonts w:ascii="Times New Roman" w:eastAsia="Times New Roman" w:hAnsi="Times New Roman" w:cs="Times New Roman"/>
          <w:sz w:val="24"/>
          <w:szCs w:val="24"/>
          <w:lang w:eastAsia="fr-FR"/>
        </w:rPr>
        <w:br/>
        <w:t>D. Comparer les glycémies du patient avec celles d’autres patients</w:t>
      </w:r>
    </w:p>
    <w:p w:rsidR="00474510" w:rsidRPr="00474510" w:rsidRDefault="00474510" w:rsidP="00474510">
      <w:pPr>
        <w:spacing w:after="0"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pict>
          <v:rect id="_x0000_i1140" style="width:0;height:1.5pt" o:hralign="center" o:hrstd="t" o:hr="t" fillcolor="#a0a0a0" stroked="f"/>
        </w:pict>
      </w:r>
    </w:p>
    <w:p w:rsidR="00474510" w:rsidRPr="00474510" w:rsidRDefault="00474510" w:rsidP="00474510">
      <w:p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b/>
          <w:bCs/>
          <w:sz w:val="24"/>
          <w:szCs w:val="24"/>
          <w:lang w:eastAsia="fr-FR"/>
        </w:rPr>
        <w:t>QCM 2 : Signaux d’alerte au comptoir</w:t>
      </w:r>
      <w:r w:rsidRPr="00474510">
        <w:rPr>
          <w:rFonts w:ascii="Times New Roman" w:eastAsia="Times New Roman" w:hAnsi="Times New Roman" w:cs="Times New Roman"/>
          <w:sz w:val="24"/>
          <w:szCs w:val="24"/>
          <w:lang w:eastAsia="fr-FR"/>
        </w:rPr>
        <w:br/>
        <w:t>Parmi les situations suivantes, lesquelles peuvent signaler des difficultés de suivi ou des complications du diabète ?</w:t>
      </w:r>
      <w:r w:rsidRPr="00474510">
        <w:rPr>
          <w:rFonts w:ascii="Times New Roman" w:eastAsia="Times New Roman" w:hAnsi="Times New Roman" w:cs="Times New Roman"/>
          <w:sz w:val="24"/>
          <w:szCs w:val="24"/>
          <w:lang w:eastAsia="fr-FR"/>
        </w:rPr>
        <w:br/>
        <w:t>A. Achats répétés de produits pour soins du pied</w:t>
      </w:r>
      <w:r w:rsidRPr="00474510">
        <w:rPr>
          <w:rFonts w:ascii="Times New Roman" w:eastAsia="Times New Roman" w:hAnsi="Times New Roman" w:cs="Times New Roman"/>
          <w:sz w:val="24"/>
          <w:szCs w:val="24"/>
          <w:lang w:eastAsia="fr-FR"/>
        </w:rPr>
        <w:br/>
        <w:t>B. Retards dans le renouvellement de l’ordonnance</w:t>
      </w:r>
      <w:r w:rsidRPr="00474510">
        <w:rPr>
          <w:rFonts w:ascii="Times New Roman" w:eastAsia="Times New Roman" w:hAnsi="Times New Roman" w:cs="Times New Roman"/>
          <w:sz w:val="24"/>
          <w:szCs w:val="24"/>
          <w:lang w:eastAsia="fr-FR"/>
        </w:rPr>
        <w:br/>
        <w:t>C. Plaintes fréquentes de fatigue ou de vision trouble</w:t>
      </w:r>
      <w:r w:rsidRPr="00474510">
        <w:rPr>
          <w:rFonts w:ascii="Times New Roman" w:eastAsia="Times New Roman" w:hAnsi="Times New Roman" w:cs="Times New Roman"/>
          <w:sz w:val="24"/>
          <w:szCs w:val="24"/>
          <w:lang w:eastAsia="fr-FR"/>
        </w:rPr>
        <w:br/>
        <w:t>D. Demande occasionnelle de conseils sur la nutrition</w:t>
      </w:r>
    </w:p>
    <w:p w:rsidR="00474510" w:rsidRPr="00474510" w:rsidRDefault="00474510" w:rsidP="00474510">
      <w:pPr>
        <w:spacing w:after="0"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pict>
          <v:rect id="_x0000_i1141" style="width:0;height:1.5pt" o:hralign="center" o:hrstd="t" o:hr="t" fillcolor="#a0a0a0" stroked="f"/>
        </w:pict>
      </w:r>
    </w:p>
    <w:p w:rsidR="00474510" w:rsidRPr="00474510" w:rsidRDefault="00474510" w:rsidP="00474510">
      <w:p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b/>
          <w:bCs/>
          <w:sz w:val="24"/>
          <w:szCs w:val="24"/>
          <w:lang w:eastAsia="fr-FR"/>
        </w:rPr>
        <w:t>QCM 3 : Renforcement de l’observance</w:t>
      </w:r>
      <w:r w:rsidRPr="00474510">
        <w:rPr>
          <w:rFonts w:ascii="Times New Roman" w:eastAsia="Times New Roman" w:hAnsi="Times New Roman" w:cs="Times New Roman"/>
          <w:sz w:val="24"/>
          <w:szCs w:val="24"/>
          <w:lang w:eastAsia="fr-FR"/>
        </w:rPr>
        <w:br/>
        <w:t>Quelles pratiques contribuent à améliorer l’observance du traitement chez un patient diabétique ?</w:t>
      </w:r>
      <w:r w:rsidRPr="00474510">
        <w:rPr>
          <w:rFonts w:ascii="Times New Roman" w:eastAsia="Times New Roman" w:hAnsi="Times New Roman" w:cs="Times New Roman"/>
          <w:sz w:val="24"/>
          <w:szCs w:val="24"/>
          <w:lang w:eastAsia="fr-FR"/>
        </w:rPr>
        <w:br/>
        <w:t>A. Poser des questions ouvertes sur le quotidien du traitement</w:t>
      </w:r>
      <w:r w:rsidRPr="00474510">
        <w:rPr>
          <w:rFonts w:ascii="Times New Roman" w:eastAsia="Times New Roman" w:hAnsi="Times New Roman" w:cs="Times New Roman"/>
          <w:sz w:val="24"/>
          <w:szCs w:val="24"/>
          <w:lang w:eastAsia="fr-FR"/>
        </w:rPr>
        <w:br/>
        <w:t>B. Identifier les freins comme les oublis ou les effets secondaires</w:t>
      </w:r>
      <w:r w:rsidRPr="00474510">
        <w:rPr>
          <w:rFonts w:ascii="Times New Roman" w:eastAsia="Times New Roman" w:hAnsi="Times New Roman" w:cs="Times New Roman"/>
          <w:sz w:val="24"/>
          <w:szCs w:val="24"/>
          <w:lang w:eastAsia="fr-FR"/>
        </w:rPr>
        <w:br/>
        <w:t>C. Proposer des solutions pratiques comme des piluliers ou des rappels</w:t>
      </w:r>
      <w:r w:rsidRPr="00474510">
        <w:rPr>
          <w:rFonts w:ascii="Times New Roman" w:eastAsia="Times New Roman" w:hAnsi="Times New Roman" w:cs="Times New Roman"/>
          <w:sz w:val="24"/>
          <w:szCs w:val="24"/>
          <w:lang w:eastAsia="fr-FR"/>
        </w:rPr>
        <w:br/>
        <w:t>D. Remplacer le suivi médical par des conseils officinaux</w:t>
      </w:r>
    </w:p>
    <w:p w:rsidR="00474510" w:rsidRPr="00474510" w:rsidRDefault="00474510" w:rsidP="00474510">
      <w:pPr>
        <w:spacing w:after="0"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pict>
          <v:rect id="_x0000_i1142" style="width:0;height:1.5pt" o:hralign="center" o:hrstd="t" o:hr="t" fillcolor="#a0a0a0" stroked="f"/>
        </w:pict>
      </w:r>
    </w:p>
    <w:p w:rsidR="00474510" w:rsidRPr="00474510" w:rsidRDefault="00474510" w:rsidP="00474510">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74510">
        <w:rPr>
          <w:rFonts w:ascii="Times New Roman" w:eastAsia="Times New Roman" w:hAnsi="Times New Roman" w:cs="Times New Roman"/>
          <w:b/>
          <w:bCs/>
          <w:sz w:val="36"/>
          <w:szCs w:val="36"/>
          <w:lang w:eastAsia="fr-FR"/>
        </w:rPr>
        <w:t>Réponses et justifications</w:t>
      </w:r>
    </w:p>
    <w:p w:rsidR="00474510" w:rsidRPr="00474510" w:rsidRDefault="00474510" w:rsidP="00474510">
      <w:p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b/>
          <w:bCs/>
          <w:sz w:val="24"/>
          <w:szCs w:val="24"/>
          <w:lang w:eastAsia="fr-FR"/>
        </w:rPr>
        <w:t>Questions ouvertes :</w:t>
      </w:r>
    </w:p>
    <w:p w:rsidR="00474510" w:rsidRPr="00474510" w:rsidRDefault="00474510" w:rsidP="00474510">
      <w:pPr>
        <w:numPr>
          <w:ilvl w:val="0"/>
          <w:numId w:val="47"/>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lastRenderedPageBreak/>
        <w:t xml:space="preserve">L’accueil bienveillant est crucial car le diabète peut générer culpabilité, anxiété ou sentiment d’échec. Une approche non </w:t>
      </w:r>
      <w:proofErr w:type="spellStart"/>
      <w:r w:rsidRPr="00474510">
        <w:rPr>
          <w:rFonts w:ascii="Times New Roman" w:eastAsia="Times New Roman" w:hAnsi="Times New Roman" w:cs="Times New Roman"/>
          <w:sz w:val="24"/>
          <w:szCs w:val="24"/>
          <w:lang w:eastAsia="fr-FR"/>
        </w:rPr>
        <w:t>stigmatisante</w:t>
      </w:r>
      <w:proofErr w:type="spellEnd"/>
      <w:r w:rsidRPr="00474510">
        <w:rPr>
          <w:rFonts w:ascii="Times New Roman" w:eastAsia="Times New Roman" w:hAnsi="Times New Roman" w:cs="Times New Roman"/>
          <w:sz w:val="24"/>
          <w:szCs w:val="24"/>
          <w:lang w:eastAsia="fr-FR"/>
        </w:rPr>
        <w:t xml:space="preserve"> et rassurante favorise la confiance, l’adhésion au traitement et l’ouverture au dialogue.</w:t>
      </w:r>
    </w:p>
    <w:p w:rsidR="00474510" w:rsidRPr="00474510" w:rsidRDefault="00474510" w:rsidP="00474510">
      <w:pPr>
        <w:numPr>
          <w:ilvl w:val="0"/>
          <w:numId w:val="47"/>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t>Signaux d’alerte : achats répétés de pansements ou produits pour le pied diabétique, retards dans le renouvellement d’ordonnance, plaintes de fatigue, vision trouble ou maux de tête, automédication inadaptée. Ces signes permettent d’anticiper complications ou difficultés d’observance.</w:t>
      </w:r>
    </w:p>
    <w:p w:rsidR="00474510" w:rsidRPr="00474510" w:rsidRDefault="00474510" w:rsidP="00474510">
      <w:pPr>
        <w:numPr>
          <w:ilvl w:val="0"/>
          <w:numId w:val="47"/>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sz w:val="24"/>
          <w:szCs w:val="24"/>
          <w:lang w:eastAsia="fr-FR"/>
        </w:rPr>
        <w:t>Actions pour renforcer l’observance : poser des questions ouvertes, identifier les freins (oublis, effets secondaires, complexité), proposer des solutions pratiques (piluliers, rappels, applications), encourager le dialogue médecin-pharmacien, et assurer une communication régulière et bienveillante.</w:t>
      </w:r>
    </w:p>
    <w:p w:rsidR="00474510" w:rsidRPr="00474510" w:rsidRDefault="00474510" w:rsidP="00474510">
      <w:p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b/>
          <w:bCs/>
          <w:sz w:val="24"/>
          <w:szCs w:val="24"/>
          <w:lang w:eastAsia="fr-FR"/>
        </w:rPr>
        <w:t>QCM :</w:t>
      </w:r>
    </w:p>
    <w:p w:rsidR="00474510" w:rsidRPr="00474510" w:rsidRDefault="00474510" w:rsidP="00474510">
      <w:pPr>
        <w:numPr>
          <w:ilvl w:val="0"/>
          <w:numId w:val="48"/>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b/>
          <w:bCs/>
          <w:sz w:val="24"/>
          <w:szCs w:val="24"/>
          <w:lang w:eastAsia="fr-FR"/>
        </w:rPr>
        <w:t>Réponse : B</w:t>
      </w:r>
      <w:r w:rsidRPr="00474510">
        <w:rPr>
          <w:rFonts w:ascii="Times New Roman" w:eastAsia="Times New Roman" w:hAnsi="Times New Roman" w:cs="Times New Roman"/>
          <w:sz w:val="24"/>
          <w:szCs w:val="24"/>
          <w:lang w:eastAsia="fr-FR"/>
        </w:rPr>
        <w:t xml:space="preserve"> – Poser une question ouverte et valoriser les efforts est conforme à un accueil bienveillant. Les autres comportements sont soit </w:t>
      </w:r>
      <w:proofErr w:type="spellStart"/>
      <w:r w:rsidRPr="00474510">
        <w:rPr>
          <w:rFonts w:ascii="Times New Roman" w:eastAsia="Times New Roman" w:hAnsi="Times New Roman" w:cs="Times New Roman"/>
          <w:sz w:val="24"/>
          <w:szCs w:val="24"/>
          <w:lang w:eastAsia="fr-FR"/>
        </w:rPr>
        <w:t>stigmatisants</w:t>
      </w:r>
      <w:proofErr w:type="spellEnd"/>
      <w:r w:rsidRPr="00474510">
        <w:rPr>
          <w:rFonts w:ascii="Times New Roman" w:eastAsia="Times New Roman" w:hAnsi="Times New Roman" w:cs="Times New Roman"/>
          <w:sz w:val="24"/>
          <w:szCs w:val="24"/>
          <w:lang w:eastAsia="fr-FR"/>
        </w:rPr>
        <w:t>, soit non adaptés.</w:t>
      </w:r>
    </w:p>
    <w:p w:rsidR="00474510" w:rsidRPr="00474510" w:rsidRDefault="00474510" w:rsidP="00474510">
      <w:pPr>
        <w:numPr>
          <w:ilvl w:val="0"/>
          <w:numId w:val="48"/>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b/>
          <w:bCs/>
          <w:sz w:val="24"/>
          <w:szCs w:val="24"/>
          <w:lang w:eastAsia="fr-FR"/>
        </w:rPr>
        <w:t>Réponses : A, B, C</w:t>
      </w:r>
      <w:r w:rsidRPr="00474510">
        <w:rPr>
          <w:rFonts w:ascii="Times New Roman" w:eastAsia="Times New Roman" w:hAnsi="Times New Roman" w:cs="Times New Roman"/>
          <w:sz w:val="24"/>
          <w:szCs w:val="24"/>
          <w:lang w:eastAsia="fr-FR"/>
        </w:rPr>
        <w:t xml:space="preserve"> – Ces situations sont des signaux d’alerte. La demande occasionnelle de conseils sur la nutrition (D) relève d’un besoin normal de conseil, pas d’un signal de difficulté.</w:t>
      </w:r>
    </w:p>
    <w:p w:rsidR="00474510" w:rsidRPr="00474510" w:rsidRDefault="00474510" w:rsidP="00474510">
      <w:pPr>
        <w:numPr>
          <w:ilvl w:val="0"/>
          <w:numId w:val="48"/>
        </w:numPr>
        <w:spacing w:before="100" w:beforeAutospacing="1" w:after="100" w:afterAutospacing="1" w:line="240" w:lineRule="auto"/>
        <w:rPr>
          <w:rFonts w:ascii="Times New Roman" w:eastAsia="Times New Roman" w:hAnsi="Times New Roman" w:cs="Times New Roman"/>
          <w:sz w:val="24"/>
          <w:szCs w:val="24"/>
          <w:lang w:eastAsia="fr-FR"/>
        </w:rPr>
      </w:pPr>
      <w:r w:rsidRPr="00474510">
        <w:rPr>
          <w:rFonts w:ascii="Times New Roman" w:eastAsia="Times New Roman" w:hAnsi="Times New Roman" w:cs="Times New Roman"/>
          <w:b/>
          <w:bCs/>
          <w:sz w:val="24"/>
          <w:szCs w:val="24"/>
          <w:lang w:eastAsia="fr-FR"/>
        </w:rPr>
        <w:t>Réponses : A, B, C</w:t>
      </w:r>
      <w:r w:rsidRPr="00474510">
        <w:rPr>
          <w:rFonts w:ascii="Times New Roman" w:eastAsia="Times New Roman" w:hAnsi="Times New Roman" w:cs="Times New Roman"/>
          <w:sz w:val="24"/>
          <w:szCs w:val="24"/>
          <w:lang w:eastAsia="fr-FR"/>
        </w:rPr>
        <w:t xml:space="preserve"> – Ces pratiques favorisent l’observance. Remplacer le suivi médical (D) n’est pas approprié ni sécuritaire.</w:t>
      </w:r>
    </w:p>
    <w:p w:rsidR="001612A3" w:rsidRDefault="001612A3">
      <w:bookmarkStart w:id="0" w:name="_GoBack"/>
      <w:bookmarkEnd w:id="0"/>
    </w:p>
    <w:sectPr w:rsidR="00161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C69EB"/>
    <w:multiLevelType w:val="multilevel"/>
    <w:tmpl w:val="3D9ABB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882C7C"/>
    <w:multiLevelType w:val="multilevel"/>
    <w:tmpl w:val="9D50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43D66"/>
    <w:multiLevelType w:val="multilevel"/>
    <w:tmpl w:val="80BAC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C5D63"/>
    <w:multiLevelType w:val="multilevel"/>
    <w:tmpl w:val="B01E1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777702"/>
    <w:multiLevelType w:val="multilevel"/>
    <w:tmpl w:val="AE00A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7D7F36"/>
    <w:multiLevelType w:val="multilevel"/>
    <w:tmpl w:val="2B06F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1574F6"/>
    <w:multiLevelType w:val="multilevel"/>
    <w:tmpl w:val="A69E6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58003C"/>
    <w:multiLevelType w:val="multilevel"/>
    <w:tmpl w:val="6F98B8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CC1ECD"/>
    <w:multiLevelType w:val="multilevel"/>
    <w:tmpl w:val="9DB2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0C2A70"/>
    <w:multiLevelType w:val="multilevel"/>
    <w:tmpl w:val="7556E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A24598"/>
    <w:multiLevelType w:val="multilevel"/>
    <w:tmpl w:val="1960D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46FF0"/>
    <w:multiLevelType w:val="multilevel"/>
    <w:tmpl w:val="39004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763E0C"/>
    <w:multiLevelType w:val="multilevel"/>
    <w:tmpl w:val="25BC1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4A50B2"/>
    <w:multiLevelType w:val="multilevel"/>
    <w:tmpl w:val="E8B04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3A01DB"/>
    <w:multiLevelType w:val="multilevel"/>
    <w:tmpl w:val="D4AE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2F2BEF"/>
    <w:multiLevelType w:val="multilevel"/>
    <w:tmpl w:val="7A6AC0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D74AB0"/>
    <w:multiLevelType w:val="multilevel"/>
    <w:tmpl w:val="106EA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DD3E89"/>
    <w:multiLevelType w:val="multilevel"/>
    <w:tmpl w:val="9DDC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A90078"/>
    <w:multiLevelType w:val="multilevel"/>
    <w:tmpl w:val="702A7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095F99"/>
    <w:multiLevelType w:val="multilevel"/>
    <w:tmpl w:val="6D7EF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0F6BCC"/>
    <w:multiLevelType w:val="multilevel"/>
    <w:tmpl w:val="965A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ED30C6"/>
    <w:multiLevelType w:val="multilevel"/>
    <w:tmpl w:val="9118E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77C17"/>
    <w:multiLevelType w:val="multilevel"/>
    <w:tmpl w:val="8E32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9E4D16"/>
    <w:multiLevelType w:val="multilevel"/>
    <w:tmpl w:val="FB56A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A60E1C"/>
    <w:multiLevelType w:val="multilevel"/>
    <w:tmpl w:val="F0AC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B42966"/>
    <w:multiLevelType w:val="multilevel"/>
    <w:tmpl w:val="DBEA3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93160A"/>
    <w:multiLevelType w:val="multilevel"/>
    <w:tmpl w:val="5CCA1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1F63CA"/>
    <w:multiLevelType w:val="multilevel"/>
    <w:tmpl w:val="2646D4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D8D6A56"/>
    <w:multiLevelType w:val="multilevel"/>
    <w:tmpl w:val="768EB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B00AFA"/>
    <w:multiLevelType w:val="multilevel"/>
    <w:tmpl w:val="A11E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190992"/>
    <w:multiLevelType w:val="multilevel"/>
    <w:tmpl w:val="A60ED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162F39"/>
    <w:multiLevelType w:val="multilevel"/>
    <w:tmpl w:val="D07A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020BF9"/>
    <w:multiLevelType w:val="multilevel"/>
    <w:tmpl w:val="014E6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F862DE"/>
    <w:multiLevelType w:val="multilevel"/>
    <w:tmpl w:val="7A84A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9DE6C1B"/>
    <w:multiLevelType w:val="multilevel"/>
    <w:tmpl w:val="2752D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15175B"/>
    <w:multiLevelType w:val="multilevel"/>
    <w:tmpl w:val="7D30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000419"/>
    <w:multiLevelType w:val="multilevel"/>
    <w:tmpl w:val="DB68C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D124A5"/>
    <w:multiLevelType w:val="multilevel"/>
    <w:tmpl w:val="ED7079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414AD2"/>
    <w:multiLevelType w:val="multilevel"/>
    <w:tmpl w:val="186E9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2452F1"/>
    <w:multiLevelType w:val="multilevel"/>
    <w:tmpl w:val="5076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997576"/>
    <w:multiLevelType w:val="multilevel"/>
    <w:tmpl w:val="F1AC1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A10FF7"/>
    <w:multiLevelType w:val="multilevel"/>
    <w:tmpl w:val="68BC5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6B64F2"/>
    <w:multiLevelType w:val="multilevel"/>
    <w:tmpl w:val="C8144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6D8120F"/>
    <w:multiLevelType w:val="multilevel"/>
    <w:tmpl w:val="FB2E9D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C6388E"/>
    <w:multiLevelType w:val="multilevel"/>
    <w:tmpl w:val="BB10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8A6D60"/>
    <w:multiLevelType w:val="multilevel"/>
    <w:tmpl w:val="A372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AE3511"/>
    <w:multiLevelType w:val="multilevel"/>
    <w:tmpl w:val="3650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C6777F"/>
    <w:multiLevelType w:val="multilevel"/>
    <w:tmpl w:val="1B3E69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37"/>
  </w:num>
  <w:num w:numId="3">
    <w:abstractNumId w:val="23"/>
  </w:num>
  <w:num w:numId="4">
    <w:abstractNumId w:val="39"/>
  </w:num>
  <w:num w:numId="5">
    <w:abstractNumId w:val="26"/>
  </w:num>
  <w:num w:numId="6">
    <w:abstractNumId w:val="16"/>
  </w:num>
  <w:num w:numId="7">
    <w:abstractNumId w:val="25"/>
  </w:num>
  <w:num w:numId="8">
    <w:abstractNumId w:val="45"/>
  </w:num>
  <w:num w:numId="9">
    <w:abstractNumId w:val="17"/>
  </w:num>
  <w:num w:numId="10">
    <w:abstractNumId w:val="13"/>
  </w:num>
  <w:num w:numId="11">
    <w:abstractNumId w:val="41"/>
  </w:num>
  <w:num w:numId="12">
    <w:abstractNumId w:val="3"/>
  </w:num>
  <w:num w:numId="13">
    <w:abstractNumId w:val="35"/>
  </w:num>
  <w:num w:numId="14">
    <w:abstractNumId w:val="43"/>
  </w:num>
  <w:num w:numId="15">
    <w:abstractNumId w:val="14"/>
  </w:num>
  <w:num w:numId="16">
    <w:abstractNumId w:val="42"/>
  </w:num>
  <w:num w:numId="17">
    <w:abstractNumId w:val="12"/>
  </w:num>
  <w:num w:numId="18">
    <w:abstractNumId w:val="44"/>
  </w:num>
  <w:num w:numId="19">
    <w:abstractNumId w:val="30"/>
  </w:num>
  <w:num w:numId="20">
    <w:abstractNumId w:val="5"/>
  </w:num>
  <w:num w:numId="21">
    <w:abstractNumId w:val="40"/>
  </w:num>
  <w:num w:numId="22">
    <w:abstractNumId w:val="36"/>
  </w:num>
  <w:num w:numId="23">
    <w:abstractNumId w:val="24"/>
  </w:num>
  <w:num w:numId="24">
    <w:abstractNumId w:val="27"/>
  </w:num>
  <w:num w:numId="25">
    <w:abstractNumId w:val="9"/>
  </w:num>
  <w:num w:numId="26">
    <w:abstractNumId w:val="22"/>
  </w:num>
  <w:num w:numId="27">
    <w:abstractNumId w:val="21"/>
  </w:num>
  <w:num w:numId="28">
    <w:abstractNumId w:val="11"/>
  </w:num>
  <w:num w:numId="29">
    <w:abstractNumId w:val="31"/>
  </w:num>
  <w:num w:numId="30">
    <w:abstractNumId w:val="28"/>
  </w:num>
  <w:num w:numId="31">
    <w:abstractNumId w:val="18"/>
  </w:num>
  <w:num w:numId="32">
    <w:abstractNumId w:val="8"/>
  </w:num>
  <w:num w:numId="33">
    <w:abstractNumId w:val="0"/>
  </w:num>
  <w:num w:numId="34">
    <w:abstractNumId w:val="1"/>
  </w:num>
  <w:num w:numId="35">
    <w:abstractNumId w:val="2"/>
  </w:num>
  <w:num w:numId="36">
    <w:abstractNumId w:val="10"/>
  </w:num>
  <w:num w:numId="37">
    <w:abstractNumId w:val="46"/>
  </w:num>
  <w:num w:numId="38">
    <w:abstractNumId w:val="47"/>
  </w:num>
  <w:num w:numId="39">
    <w:abstractNumId w:val="32"/>
  </w:num>
  <w:num w:numId="40">
    <w:abstractNumId w:val="7"/>
  </w:num>
  <w:num w:numId="41">
    <w:abstractNumId w:val="20"/>
  </w:num>
  <w:num w:numId="42">
    <w:abstractNumId w:val="29"/>
  </w:num>
  <w:num w:numId="43">
    <w:abstractNumId w:val="33"/>
  </w:num>
  <w:num w:numId="44">
    <w:abstractNumId w:val="15"/>
  </w:num>
  <w:num w:numId="45">
    <w:abstractNumId w:val="6"/>
  </w:num>
  <w:num w:numId="46">
    <w:abstractNumId w:val="34"/>
  </w:num>
  <w:num w:numId="47">
    <w:abstractNumId w:val="19"/>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745"/>
    <w:rsid w:val="0007636C"/>
    <w:rsid w:val="001612A3"/>
    <w:rsid w:val="001A1DF7"/>
    <w:rsid w:val="00474510"/>
    <w:rsid w:val="004E4867"/>
    <w:rsid w:val="005A77A3"/>
    <w:rsid w:val="00623BB0"/>
    <w:rsid w:val="00745B81"/>
    <w:rsid w:val="00907745"/>
    <w:rsid w:val="00D616CD"/>
    <w:rsid w:val="00DC6624"/>
    <w:rsid w:val="00DE6375"/>
    <w:rsid w:val="00EC7EE9"/>
    <w:rsid w:val="00FB25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E0BAE-AE49-488F-ACC2-9F96912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8306">
      <w:bodyDiv w:val="1"/>
      <w:marLeft w:val="0"/>
      <w:marRight w:val="0"/>
      <w:marTop w:val="0"/>
      <w:marBottom w:val="0"/>
      <w:divBdr>
        <w:top w:val="none" w:sz="0" w:space="0" w:color="auto"/>
        <w:left w:val="none" w:sz="0" w:space="0" w:color="auto"/>
        <w:bottom w:val="none" w:sz="0" w:space="0" w:color="auto"/>
        <w:right w:val="none" w:sz="0" w:space="0" w:color="auto"/>
      </w:divBdr>
    </w:div>
    <w:div w:id="267781328">
      <w:bodyDiv w:val="1"/>
      <w:marLeft w:val="0"/>
      <w:marRight w:val="0"/>
      <w:marTop w:val="0"/>
      <w:marBottom w:val="0"/>
      <w:divBdr>
        <w:top w:val="none" w:sz="0" w:space="0" w:color="auto"/>
        <w:left w:val="none" w:sz="0" w:space="0" w:color="auto"/>
        <w:bottom w:val="none" w:sz="0" w:space="0" w:color="auto"/>
        <w:right w:val="none" w:sz="0" w:space="0" w:color="auto"/>
      </w:divBdr>
    </w:div>
    <w:div w:id="611983256">
      <w:bodyDiv w:val="1"/>
      <w:marLeft w:val="0"/>
      <w:marRight w:val="0"/>
      <w:marTop w:val="0"/>
      <w:marBottom w:val="0"/>
      <w:divBdr>
        <w:top w:val="none" w:sz="0" w:space="0" w:color="auto"/>
        <w:left w:val="none" w:sz="0" w:space="0" w:color="auto"/>
        <w:bottom w:val="none" w:sz="0" w:space="0" w:color="auto"/>
        <w:right w:val="none" w:sz="0" w:space="0" w:color="auto"/>
      </w:divBdr>
    </w:div>
    <w:div w:id="1092968138">
      <w:bodyDiv w:val="1"/>
      <w:marLeft w:val="0"/>
      <w:marRight w:val="0"/>
      <w:marTop w:val="0"/>
      <w:marBottom w:val="0"/>
      <w:divBdr>
        <w:top w:val="none" w:sz="0" w:space="0" w:color="auto"/>
        <w:left w:val="none" w:sz="0" w:space="0" w:color="auto"/>
        <w:bottom w:val="none" w:sz="0" w:space="0" w:color="auto"/>
        <w:right w:val="none" w:sz="0" w:space="0" w:color="auto"/>
      </w:divBdr>
    </w:div>
    <w:div w:id="1252273289">
      <w:bodyDiv w:val="1"/>
      <w:marLeft w:val="0"/>
      <w:marRight w:val="0"/>
      <w:marTop w:val="0"/>
      <w:marBottom w:val="0"/>
      <w:divBdr>
        <w:top w:val="none" w:sz="0" w:space="0" w:color="auto"/>
        <w:left w:val="none" w:sz="0" w:space="0" w:color="auto"/>
        <w:bottom w:val="none" w:sz="0" w:space="0" w:color="auto"/>
        <w:right w:val="none" w:sz="0" w:space="0" w:color="auto"/>
      </w:divBdr>
    </w:div>
    <w:div w:id="1500267390">
      <w:bodyDiv w:val="1"/>
      <w:marLeft w:val="0"/>
      <w:marRight w:val="0"/>
      <w:marTop w:val="0"/>
      <w:marBottom w:val="0"/>
      <w:divBdr>
        <w:top w:val="none" w:sz="0" w:space="0" w:color="auto"/>
        <w:left w:val="none" w:sz="0" w:space="0" w:color="auto"/>
        <w:bottom w:val="none" w:sz="0" w:space="0" w:color="auto"/>
        <w:right w:val="none" w:sz="0" w:space="0" w:color="auto"/>
      </w:divBdr>
    </w:div>
    <w:div w:id="1528132126">
      <w:bodyDiv w:val="1"/>
      <w:marLeft w:val="0"/>
      <w:marRight w:val="0"/>
      <w:marTop w:val="0"/>
      <w:marBottom w:val="0"/>
      <w:divBdr>
        <w:top w:val="none" w:sz="0" w:space="0" w:color="auto"/>
        <w:left w:val="none" w:sz="0" w:space="0" w:color="auto"/>
        <w:bottom w:val="none" w:sz="0" w:space="0" w:color="auto"/>
        <w:right w:val="none" w:sz="0" w:space="0" w:color="auto"/>
      </w:divBdr>
    </w:div>
    <w:div w:id="1570143423">
      <w:bodyDiv w:val="1"/>
      <w:marLeft w:val="0"/>
      <w:marRight w:val="0"/>
      <w:marTop w:val="0"/>
      <w:marBottom w:val="0"/>
      <w:divBdr>
        <w:top w:val="none" w:sz="0" w:space="0" w:color="auto"/>
        <w:left w:val="none" w:sz="0" w:space="0" w:color="auto"/>
        <w:bottom w:val="none" w:sz="0" w:space="0" w:color="auto"/>
        <w:right w:val="none" w:sz="0" w:space="0" w:color="auto"/>
      </w:divBdr>
    </w:div>
    <w:div w:id="1708488793">
      <w:bodyDiv w:val="1"/>
      <w:marLeft w:val="0"/>
      <w:marRight w:val="0"/>
      <w:marTop w:val="0"/>
      <w:marBottom w:val="0"/>
      <w:divBdr>
        <w:top w:val="none" w:sz="0" w:space="0" w:color="auto"/>
        <w:left w:val="none" w:sz="0" w:space="0" w:color="auto"/>
        <w:bottom w:val="none" w:sz="0" w:space="0" w:color="auto"/>
        <w:right w:val="none" w:sz="0" w:space="0" w:color="auto"/>
      </w:divBdr>
    </w:div>
    <w:div w:id="1755975078">
      <w:bodyDiv w:val="1"/>
      <w:marLeft w:val="0"/>
      <w:marRight w:val="0"/>
      <w:marTop w:val="0"/>
      <w:marBottom w:val="0"/>
      <w:divBdr>
        <w:top w:val="none" w:sz="0" w:space="0" w:color="auto"/>
        <w:left w:val="none" w:sz="0" w:space="0" w:color="auto"/>
        <w:bottom w:val="none" w:sz="0" w:space="0" w:color="auto"/>
        <w:right w:val="none" w:sz="0" w:space="0" w:color="auto"/>
      </w:divBdr>
    </w:div>
    <w:div w:id="1968583974">
      <w:bodyDiv w:val="1"/>
      <w:marLeft w:val="0"/>
      <w:marRight w:val="0"/>
      <w:marTop w:val="0"/>
      <w:marBottom w:val="0"/>
      <w:divBdr>
        <w:top w:val="none" w:sz="0" w:space="0" w:color="auto"/>
        <w:left w:val="none" w:sz="0" w:space="0" w:color="auto"/>
        <w:bottom w:val="none" w:sz="0" w:space="0" w:color="auto"/>
        <w:right w:val="none" w:sz="0" w:space="0" w:color="auto"/>
      </w:divBdr>
    </w:div>
    <w:div w:id="1982273729">
      <w:bodyDiv w:val="1"/>
      <w:marLeft w:val="0"/>
      <w:marRight w:val="0"/>
      <w:marTop w:val="0"/>
      <w:marBottom w:val="0"/>
      <w:divBdr>
        <w:top w:val="none" w:sz="0" w:space="0" w:color="auto"/>
        <w:left w:val="none" w:sz="0" w:space="0" w:color="auto"/>
        <w:bottom w:val="none" w:sz="0" w:space="0" w:color="auto"/>
        <w:right w:val="none" w:sz="0" w:space="0" w:color="auto"/>
      </w:divBdr>
    </w:div>
    <w:div w:id="209185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2570</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2025-10-14T10:49:00Z</dcterms:created>
  <dcterms:modified xsi:type="dcterms:W3CDTF">2025-10-14T10:49:00Z</dcterms:modified>
</cp:coreProperties>
</file>